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142"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6467"/>
        <w:gridCol w:w="7491"/>
      </w:tblGrid>
      <w:tr w:rsidR="00692147" w:rsidRPr="00064F8F" w14:paraId="7FE70F4C" w14:textId="77777777" w:rsidTr="00692147">
        <w:trPr>
          <w:trHeight w:val="1062"/>
        </w:trPr>
        <w:tc>
          <w:tcPr>
            <w:tcW w:w="6663" w:type="dxa"/>
          </w:tcPr>
          <w:p w14:paraId="7263F885" w14:textId="150DF23A" w:rsidR="00692147" w:rsidRPr="00064F8F" w:rsidRDefault="00692147" w:rsidP="00692147">
            <w:pPr>
              <w:tabs>
                <w:tab w:val="center" w:pos="4513"/>
                <w:tab w:val="right" w:pos="9026"/>
              </w:tabs>
              <w:spacing w:after="0" w:line="240" w:lineRule="auto"/>
              <w:ind w:left="-115"/>
              <w:jc w:val="both"/>
              <w:rPr>
                <w:rFonts w:ascii="Calisto MT" w:hAnsi="Calisto MT"/>
                <w:b/>
                <w:sz w:val="26"/>
                <w:szCs w:val="26"/>
              </w:rPr>
            </w:pPr>
            <w:r w:rsidRPr="00064F8F">
              <w:rPr>
                <w:rFonts w:ascii="Calisto MT" w:hAnsi="Calisto MT"/>
                <w:b/>
                <w:sz w:val="26"/>
                <w:szCs w:val="26"/>
              </w:rPr>
              <w:t>Views and Suggestions of ICSI on the draft International Financial Services Centres Authority (Amendment) Bill, 2026 for Variable Capital Companies</w:t>
            </w:r>
          </w:p>
        </w:tc>
        <w:tc>
          <w:tcPr>
            <w:tcW w:w="7513" w:type="dxa"/>
          </w:tcPr>
          <w:p w14:paraId="004205D9" w14:textId="47D097BB" w:rsidR="00692147" w:rsidRPr="00064F8F" w:rsidRDefault="00692147" w:rsidP="00692147">
            <w:pPr>
              <w:tabs>
                <w:tab w:val="center" w:pos="4513"/>
                <w:tab w:val="right" w:pos="9026"/>
              </w:tabs>
              <w:spacing w:after="0" w:line="240" w:lineRule="auto"/>
              <w:ind w:left="-70" w:hanging="55"/>
              <w:jc w:val="center"/>
              <w:rPr>
                <w:rFonts w:ascii="Calisto MT" w:hAnsi="Calisto MT"/>
                <w:b/>
                <w:bCs/>
                <w:sz w:val="26"/>
                <w:szCs w:val="26"/>
              </w:rPr>
            </w:pPr>
            <w:r w:rsidRPr="00064F8F">
              <w:rPr>
                <w:b/>
                <w:bCs/>
                <w:noProof/>
                <w:sz w:val="26"/>
                <w:szCs w:val="26"/>
                <w:lang w:val="en-US"/>
              </w:rPr>
              <w:drawing>
                <wp:inline distT="0" distB="0" distL="0" distR="0" wp14:anchorId="11036CE6" wp14:editId="2C487C4E">
                  <wp:extent cx="4352925" cy="8990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390596" cy="906874"/>
                          </a:xfrm>
                          <a:prstGeom prst="rect">
                            <a:avLst/>
                          </a:prstGeom>
                          <a:noFill/>
                          <a:ln>
                            <a:noFill/>
                          </a:ln>
                        </pic:spPr>
                      </pic:pic>
                    </a:graphicData>
                  </a:graphic>
                </wp:inline>
              </w:drawing>
            </w:r>
          </w:p>
        </w:tc>
      </w:tr>
    </w:tbl>
    <w:p w14:paraId="5E42E306" w14:textId="77777777" w:rsidR="00692147" w:rsidRPr="00064F8F" w:rsidRDefault="00692147" w:rsidP="00692147">
      <w:pPr>
        <w:rPr>
          <w:rFonts w:ascii="Calisto MT" w:hAnsi="Calisto MT"/>
          <w:sz w:val="26"/>
          <w:szCs w:val="26"/>
        </w:rPr>
      </w:pPr>
    </w:p>
    <w:tbl>
      <w:tblPr>
        <w:tblW w:w="1375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678"/>
        <w:gridCol w:w="3827"/>
        <w:gridCol w:w="4252"/>
      </w:tblGrid>
      <w:tr w:rsidR="00692147" w:rsidRPr="00064F8F" w14:paraId="33DB9563" w14:textId="77777777" w:rsidTr="00692147">
        <w:tc>
          <w:tcPr>
            <w:tcW w:w="993" w:type="dxa"/>
          </w:tcPr>
          <w:p w14:paraId="470C548A" w14:textId="77777777" w:rsidR="00692147" w:rsidRPr="00064F8F" w:rsidRDefault="00692147" w:rsidP="00F52C60">
            <w:pPr>
              <w:spacing w:after="0" w:line="240" w:lineRule="auto"/>
              <w:jc w:val="center"/>
              <w:rPr>
                <w:rFonts w:ascii="Calisto MT" w:hAnsi="Calisto MT" w:cs="Times New Roman"/>
                <w:b/>
                <w:sz w:val="26"/>
                <w:szCs w:val="26"/>
              </w:rPr>
            </w:pPr>
            <w:r w:rsidRPr="00064F8F">
              <w:rPr>
                <w:rFonts w:ascii="Calisto MT" w:hAnsi="Calisto MT" w:cs="Times New Roman"/>
                <w:b/>
                <w:sz w:val="26"/>
                <w:szCs w:val="26"/>
              </w:rPr>
              <w:t>Sl. No.</w:t>
            </w:r>
          </w:p>
        </w:tc>
        <w:tc>
          <w:tcPr>
            <w:tcW w:w="4678" w:type="dxa"/>
          </w:tcPr>
          <w:p w14:paraId="5A0B7220" w14:textId="77777777" w:rsidR="00692147" w:rsidRPr="00064F8F" w:rsidRDefault="00692147" w:rsidP="00F52C60">
            <w:pPr>
              <w:spacing w:after="0" w:line="240" w:lineRule="auto"/>
              <w:jc w:val="both"/>
              <w:rPr>
                <w:rFonts w:ascii="Calisto MT" w:hAnsi="Calisto MT" w:cs="Times New Roman"/>
                <w:b/>
                <w:sz w:val="26"/>
                <w:szCs w:val="26"/>
              </w:rPr>
            </w:pPr>
            <w:r w:rsidRPr="00064F8F">
              <w:rPr>
                <w:rFonts w:ascii="Calisto MT" w:hAnsi="Calisto MT" w:cs="Times New Roman"/>
                <w:b/>
                <w:sz w:val="26"/>
                <w:szCs w:val="26"/>
              </w:rPr>
              <w:t xml:space="preserve">Section No. </w:t>
            </w:r>
          </w:p>
          <w:p w14:paraId="3F141989" w14:textId="524C7403" w:rsidR="00692147" w:rsidRPr="00064F8F" w:rsidRDefault="00692147" w:rsidP="00F52C60">
            <w:pPr>
              <w:spacing w:after="0" w:line="240" w:lineRule="auto"/>
              <w:jc w:val="both"/>
              <w:rPr>
                <w:rFonts w:ascii="Calisto MT" w:hAnsi="Calisto MT" w:cs="Times New Roman"/>
                <w:b/>
                <w:sz w:val="26"/>
                <w:szCs w:val="26"/>
              </w:rPr>
            </w:pPr>
          </w:p>
        </w:tc>
        <w:tc>
          <w:tcPr>
            <w:tcW w:w="3827" w:type="dxa"/>
          </w:tcPr>
          <w:p w14:paraId="6CF8A696" w14:textId="77777777" w:rsidR="00692147" w:rsidRPr="00064F8F" w:rsidRDefault="00692147" w:rsidP="00F52C60">
            <w:pPr>
              <w:spacing w:after="0" w:line="240" w:lineRule="auto"/>
              <w:jc w:val="both"/>
              <w:rPr>
                <w:rFonts w:ascii="Calisto MT" w:hAnsi="Calisto MT" w:cs="Times New Roman"/>
                <w:b/>
                <w:sz w:val="26"/>
                <w:szCs w:val="26"/>
              </w:rPr>
            </w:pPr>
            <w:r w:rsidRPr="00064F8F">
              <w:rPr>
                <w:rFonts w:ascii="Calisto MT" w:hAnsi="Calisto MT" w:cs="Times New Roman"/>
                <w:b/>
                <w:sz w:val="26"/>
                <w:szCs w:val="26"/>
              </w:rPr>
              <w:t xml:space="preserve">Proposed/ Suggested Changes </w:t>
            </w:r>
          </w:p>
        </w:tc>
        <w:tc>
          <w:tcPr>
            <w:tcW w:w="4252" w:type="dxa"/>
          </w:tcPr>
          <w:p w14:paraId="1A1BB42B" w14:textId="77777777" w:rsidR="00692147" w:rsidRPr="00064F8F" w:rsidRDefault="00692147" w:rsidP="00F52C60">
            <w:pPr>
              <w:spacing w:after="0" w:line="240" w:lineRule="auto"/>
              <w:jc w:val="both"/>
              <w:rPr>
                <w:rFonts w:ascii="Calisto MT" w:hAnsi="Calisto MT" w:cs="Times New Roman"/>
                <w:b/>
                <w:sz w:val="26"/>
                <w:szCs w:val="26"/>
              </w:rPr>
            </w:pPr>
            <w:r w:rsidRPr="00064F8F">
              <w:rPr>
                <w:rFonts w:ascii="Calisto MT" w:hAnsi="Calisto MT" w:cs="Times New Roman"/>
                <w:b/>
                <w:sz w:val="26"/>
                <w:szCs w:val="26"/>
              </w:rPr>
              <w:t>Rationale for proposed changes</w:t>
            </w:r>
          </w:p>
        </w:tc>
      </w:tr>
      <w:tr w:rsidR="00692147" w:rsidRPr="00064F8F" w14:paraId="751586F6" w14:textId="77777777" w:rsidTr="00692147">
        <w:tc>
          <w:tcPr>
            <w:tcW w:w="993" w:type="dxa"/>
          </w:tcPr>
          <w:p w14:paraId="165FBCD4" w14:textId="1FFA15D4" w:rsidR="00692147" w:rsidRPr="00064F8F" w:rsidRDefault="00692147" w:rsidP="00F52C60">
            <w:pPr>
              <w:spacing w:after="0" w:line="240" w:lineRule="auto"/>
              <w:jc w:val="center"/>
              <w:rPr>
                <w:rFonts w:ascii="Calisto MT" w:hAnsi="Calisto MT" w:cs="Times New Roman"/>
                <w:b/>
                <w:sz w:val="26"/>
                <w:szCs w:val="26"/>
              </w:rPr>
            </w:pPr>
            <w:r w:rsidRPr="00064F8F">
              <w:rPr>
                <w:rFonts w:ascii="Calisto MT" w:hAnsi="Calisto MT" w:cs="Times New Roman"/>
                <w:b/>
                <w:sz w:val="26"/>
                <w:szCs w:val="26"/>
              </w:rPr>
              <w:t>1</w:t>
            </w:r>
          </w:p>
        </w:tc>
        <w:tc>
          <w:tcPr>
            <w:tcW w:w="4678" w:type="dxa"/>
          </w:tcPr>
          <w:p w14:paraId="45A3F0BD" w14:textId="77777777" w:rsidR="00692147" w:rsidRPr="00064F8F" w:rsidRDefault="00692147" w:rsidP="00F52C60">
            <w:pPr>
              <w:spacing w:after="0" w:line="240" w:lineRule="auto"/>
              <w:jc w:val="both"/>
              <w:rPr>
                <w:rFonts w:ascii="Calisto MT" w:hAnsi="Calisto MT" w:cs="Times New Roman"/>
                <w:b/>
                <w:sz w:val="26"/>
                <w:szCs w:val="26"/>
              </w:rPr>
            </w:pPr>
            <w:r w:rsidRPr="00064F8F">
              <w:rPr>
                <w:rFonts w:ascii="Calisto MT" w:hAnsi="Calisto MT" w:cs="Times New Roman"/>
                <w:b/>
                <w:sz w:val="26"/>
                <w:szCs w:val="26"/>
              </w:rPr>
              <w:t>Section 13W (7)</w:t>
            </w:r>
          </w:p>
          <w:p w14:paraId="5D98343F" w14:textId="77777777" w:rsidR="00692147" w:rsidRPr="00064F8F" w:rsidRDefault="00692147" w:rsidP="00F52C60">
            <w:pPr>
              <w:spacing w:after="0" w:line="240" w:lineRule="auto"/>
              <w:jc w:val="both"/>
              <w:rPr>
                <w:rFonts w:ascii="Calisto MT" w:hAnsi="Calisto MT" w:cs="Times New Roman"/>
                <w:b/>
                <w:sz w:val="26"/>
                <w:szCs w:val="26"/>
              </w:rPr>
            </w:pPr>
          </w:p>
          <w:p w14:paraId="68CBFF9C" w14:textId="71C94AEE" w:rsidR="00692147" w:rsidRPr="00064F8F" w:rsidRDefault="00692147" w:rsidP="00692147">
            <w:pPr>
              <w:spacing w:after="0" w:line="240" w:lineRule="auto"/>
              <w:jc w:val="both"/>
              <w:rPr>
                <w:rFonts w:ascii="Calisto MT" w:hAnsi="Calisto MT" w:cs="Times New Roman"/>
                <w:bCs/>
                <w:sz w:val="26"/>
                <w:szCs w:val="26"/>
              </w:rPr>
            </w:pPr>
            <w:r w:rsidRPr="00064F8F">
              <w:rPr>
                <w:rFonts w:ascii="Calisto MT" w:hAnsi="Calisto MT" w:cs="Times New Roman"/>
                <w:b/>
                <w:sz w:val="26"/>
                <w:szCs w:val="26"/>
              </w:rPr>
              <w:t xml:space="preserve">(7) </w:t>
            </w:r>
            <w:r w:rsidRPr="00064F8F">
              <w:rPr>
                <w:rFonts w:ascii="Calisto MT" w:hAnsi="Calisto MT" w:cs="Times New Roman"/>
                <w:bCs/>
                <w:sz w:val="26"/>
                <w:szCs w:val="26"/>
              </w:rPr>
              <w:t>The compliance officer shall be such officer who shall report to the Board, is capable of understanding financial statements and the requirements for legal and regulatory compliance under this Act, shall have such other qualifications and eligibility criteria, shall be appointed or designated, be removed, or resign in such manner and in accordance with such conditions as may be specified by regulations.</w:t>
            </w:r>
          </w:p>
          <w:p w14:paraId="71DBD220" w14:textId="33193326" w:rsidR="00692147" w:rsidRPr="00064F8F" w:rsidRDefault="00692147" w:rsidP="00F52C60">
            <w:pPr>
              <w:spacing w:after="0" w:line="240" w:lineRule="auto"/>
              <w:jc w:val="both"/>
              <w:rPr>
                <w:rFonts w:ascii="Calisto MT" w:hAnsi="Calisto MT" w:cs="Times New Roman"/>
                <w:b/>
                <w:sz w:val="26"/>
                <w:szCs w:val="26"/>
              </w:rPr>
            </w:pPr>
          </w:p>
        </w:tc>
        <w:tc>
          <w:tcPr>
            <w:tcW w:w="3827" w:type="dxa"/>
          </w:tcPr>
          <w:p w14:paraId="78B519B7" w14:textId="78303C79" w:rsidR="00692147" w:rsidRPr="00064F8F" w:rsidRDefault="00692147" w:rsidP="00F52C60">
            <w:pPr>
              <w:spacing w:after="0" w:line="240" w:lineRule="auto"/>
              <w:jc w:val="both"/>
              <w:rPr>
                <w:rFonts w:ascii="Calisto MT" w:hAnsi="Calisto MT" w:cs="Times New Roman"/>
                <w:bCs/>
                <w:sz w:val="26"/>
                <w:szCs w:val="26"/>
              </w:rPr>
            </w:pPr>
            <w:r w:rsidRPr="00064F8F">
              <w:rPr>
                <w:rFonts w:ascii="Calisto MT" w:hAnsi="Calisto MT" w:cs="Times New Roman"/>
                <w:bCs/>
                <w:sz w:val="26"/>
                <w:szCs w:val="26"/>
              </w:rPr>
              <w:t>The following are suggested:</w:t>
            </w:r>
          </w:p>
          <w:p w14:paraId="195BAA22" w14:textId="77777777" w:rsidR="00692147" w:rsidRPr="00064F8F" w:rsidRDefault="00692147" w:rsidP="00F52C60">
            <w:pPr>
              <w:spacing w:after="0" w:line="240" w:lineRule="auto"/>
              <w:jc w:val="both"/>
              <w:rPr>
                <w:rFonts w:ascii="Calisto MT" w:hAnsi="Calisto MT" w:cs="Times New Roman"/>
                <w:bCs/>
                <w:sz w:val="26"/>
                <w:szCs w:val="26"/>
              </w:rPr>
            </w:pPr>
          </w:p>
          <w:p w14:paraId="7AF4CDD4" w14:textId="38D8AE4F" w:rsidR="00692147" w:rsidRPr="00064F8F" w:rsidRDefault="00692147" w:rsidP="00692147">
            <w:pPr>
              <w:spacing w:after="0" w:line="240" w:lineRule="auto"/>
              <w:jc w:val="both"/>
              <w:rPr>
                <w:rFonts w:ascii="Calisto MT" w:hAnsi="Calisto MT" w:cs="Times New Roman"/>
                <w:bCs/>
                <w:sz w:val="26"/>
                <w:szCs w:val="26"/>
              </w:rPr>
            </w:pPr>
            <w:r w:rsidRPr="00064F8F">
              <w:rPr>
                <w:rFonts w:ascii="Calisto MT" w:hAnsi="Calisto MT" w:cs="Times New Roman"/>
                <w:bCs/>
                <w:sz w:val="26"/>
                <w:szCs w:val="26"/>
              </w:rPr>
              <w:t xml:space="preserve">(7) The compliance officer shall be </w:t>
            </w:r>
            <w:r w:rsidRPr="00064F8F">
              <w:rPr>
                <w:rFonts w:ascii="Calisto MT" w:hAnsi="Calisto MT" w:cs="Times New Roman"/>
                <w:bCs/>
                <w:dstrike/>
                <w:sz w:val="26"/>
                <w:szCs w:val="26"/>
              </w:rPr>
              <w:t>such officer</w:t>
            </w:r>
            <w:r w:rsidRPr="00064F8F">
              <w:rPr>
                <w:rFonts w:ascii="Calisto MT" w:hAnsi="Calisto MT" w:cs="Times New Roman"/>
                <w:bCs/>
                <w:sz w:val="26"/>
                <w:szCs w:val="26"/>
              </w:rPr>
              <w:t xml:space="preserve"> </w:t>
            </w:r>
            <w:r w:rsidRPr="00064F8F">
              <w:rPr>
                <w:rFonts w:ascii="Calisto MT" w:hAnsi="Calisto MT" w:cs="Times New Roman"/>
                <w:b/>
                <w:i/>
                <w:iCs/>
                <w:sz w:val="26"/>
                <w:szCs w:val="26"/>
              </w:rPr>
              <w:t>a qualified Company Secretary</w:t>
            </w:r>
            <w:r w:rsidRPr="00064F8F">
              <w:rPr>
                <w:rFonts w:ascii="Calisto MT" w:hAnsi="Calisto MT" w:cs="Times New Roman"/>
                <w:bCs/>
                <w:sz w:val="26"/>
                <w:szCs w:val="26"/>
              </w:rPr>
              <w:t xml:space="preserve"> who shall report to the Board, is capable of understanding financial statements and the requirements for legal and regulatory compliance under this Act, </w:t>
            </w:r>
            <w:r w:rsidRPr="00064F8F">
              <w:rPr>
                <w:rFonts w:ascii="Calisto MT" w:hAnsi="Calisto MT" w:cs="Times New Roman"/>
                <w:bCs/>
                <w:dstrike/>
                <w:sz w:val="26"/>
                <w:szCs w:val="26"/>
              </w:rPr>
              <w:t>shall have such other qualifications and eligibility criteria</w:t>
            </w:r>
            <w:r w:rsidRPr="00064F8F">
              <w:rPr>
                <w:rFonts w:ascii="Calisto MT" w:hAnsi="Calisto MT" w:cs="Times New Roman"/>
                <w:bCs/>
                <w:sz w:val="26"/>
                <w:szCs w:val="26"/>
              </w:rPr>
              <w:t>, shall be appointed or designated, be removed, or resign in such manner and in accordance with such conditions as may be specified by regulations.</w:t>
            </w:r>
          </w:p>
          <w:p w14:paraId="19190FE9" w14:textId="30F67BB6" w:rsidR="00692147" w:rsidRPr="00064F8F" w:rsidRDefault="00692147" w:rsidP="00692147">
            <w:pPr>
              <w:spacing w:after="0" w:line="240" w:lineRule="auto"/>
              <w:jc w:val="both"/>
              <w:rPr>
                <w:rFonts w:ascii="Calisto MT" w:hAnsi="Calisto MT" w:cs="Times New Roman"/>
                <w:b/>
                <w:sz w:val="26"/>
                <w:szCs w:val="26"/>
              </w:rPr>
            </w:pPr>
          </w:p>
        </w:tc>
        <w:tc>
          <w:tcPr>
            <w:tcW w:w="4252" w:type="dxa"/>
          </w:tcPr>
          <w:p w14:paraId="36669908" w14:textId="2364822F" w:rsidR="00692147" w:rsidRPr="00064F8F" w:rsidRDefault="00692147" w:rsidP="00F52C60">
            <w:pPr>
              <w:spacing w:after="0" w:line="240" w:lineRule="auto"/>
              <w:jc w:val="both"/>
              <w:rPr>
                <w:rFonts w:ascii="Calisto MT" w:hAnsi="Calisto MT" w:cs="Times New Roman"/>
                <w:b/>
                <w:sz w:val="26"/>
                <w:szCs w:val="26"/>
              </w:rPr>
            </w:pPr>
            <w:r w:rsidRPr="00064F8F">
              <w:rPr>
                <w:rFonts w:ascii="Calisto MT" w:hAnsi="Calisto MT" w:cs="Times New Roman"/>
                <w:b/>
                <w:sz w:val="26"/>
                <w:szCs w:val="26"/>
              </w:rPr>
              <w:t>The Company Secretary is already designated as Compliance Officer under Regulation 86 of the IFSCA (Listing) Regulations, 2024.</w:t>
            </w:r>
          </w:p>
          <w:p w14:paraId="61E301FD" w14:textId="5CD03A99" w:rsidR="00064F8F" w:rsidRPr="00064F8F" w:rsidRDefault="00064F8F" w:rsidP="00F52C60">
            <w:pPr>
              <w:spacing w:after="0" w:line="240" w:lineRule="auto"/>
              <w:jc w:val="both"/>
              <w:rPr>
                <w:rFonts w:ascii="Calisto MT" w:hAnsi="Calisto MT" w:cs="Times New Roman"/>
                <w:bCs/>
                <w:sz w:val="26"/>
                <w:szCs w:val="26"/>
              </w:rPr>
            </w:pPr>
          </w:p>
          <w:p w14:paraId="3B64EACE" w14:textId="5CD3A60A" w:rsidR="00064F8F" w:rsidRPr="00064F8F" w:rsidRDefault="00064F8F" w:rsidP="00064F8F">
            <w:pPr>
              <w:spacing w:after="0" w:line="276" w:lineRule="auto"/>
              <w:jc w:val="both"/>
              <w:rPr>
                <w:rFonts w:ascii="Calisto MT" w:hAnsi="Calisto MT" w:cs="Times New Roman"/>
                <w:bCs/>
                <w:sz w:val="26"/>
                <w:szCs w:val="26"/>
              </w:rPr>
            </w:pPr>
            <w:r w:rsidRPr="00064F8F">
              <w:rPr>
                <w:rFonts w:ascii="Calisto MT" w:hAnsi="Calisto MT" w:cs="Times New Roman"/>
                <w:bCs/>
                <w:sz w:val="26"/>
                <w:szCs w:val="26"/>
              </w:rPr>
              <w:t>Company Secretaries hold a constitutionally recognized and statutorily empowered role in India’s corporate governance framework. Under the Company Secretaries Act, 1980, enacted by special Act of Parliament, Company Secretaries are the only professionals vested with the exclusive domain to ensure compliance with the corporate laws. This legislative mandate, rooted in constitutional principles of accountability and transparency, elevates Company Secretaries beyond advisory functions into the domain of authorized compliance officers.  The role of Company Secretaries is very clear and the constitutional &amp; statutory recognition accorded by various regulators over the years underscore that Company Secretaries are indispensable guardians of corporate integrity, entrusted to certify, guide, and enforce adherence to the evolving regulatory landscape, thereby strengthening investor confidence and good corporate governance.</w:t>
            </w:r>
          </w:p>
          <w:p w14:paraId="2FEBF54E" w14:textId="0A2E89C1" w:rsidR="00064F8F" w:rsidRPr="00064F8F" w:rsidRDefault="00064F8F" w:rsidP="00064F8F">
            <w:pPr>
              <w:spacing w:after="0" w:line="276" w:lineRule="auto"/>
              <w:jc w:val="both"/>
              <w:rPr>
                <w:rFonts w:ascii="Calisto MT" w:hAnsi="Calisto MT" w:cs="Times New Roman"/>
                <w:bCs/>
                <w:sz w:val="26"/>
                <w:szCs w:val="26"/>
              </w:rPr>
            </w:pPr>
          </w:p>
          <w:p w14:paraId="33BEE2FC" w14:textId="4816E663" w:rsidR="00064F8F" w:rsidRPr="00064F8F" w:rsidRDefault="00064F8F" w:rsidP="00064F8F">
            <w:pPr>
              <w:spacing w:after="0" w:line="276" w:lineRule="auto"/>
              <w:jc w:val="both"/>
              <w:rPr>
                <w:rFonts w:ascii="Calisto MT" w:hAnsi="Calisto MT" w:cs="Times New Roman"/>
                <w:bCs/>
                <w:sz w:val="26"/>
                <w:szCs w:val="26"/>
              </w:rPr>
            </w:pPr>
            <w:r w:rsidRPr="00064F8F">
              <w:rPr>
                <w:rFonts w:ascii="Calisto MT" w:hAnsi="Calisto MT" w:cs="Times New Roman"/>
                <w:bCs/>
                <w:sz w:val="26"/>
                <w:szCs w:val="26"/>
              </w:rPr>
              <w:t>The conceptualization of Compliance Officer wherein Company Secretary being the governance professional having expertise in core compliance management, is consistently reflected across various statutory frameworks, regulatory prescriptions, and policy-level deliberations. The emphasis has always been on role-specific professional expertise, clear functional demarcation and independence of oversight functions. It is worth mentioning here that the regulatory frameworks towards which attention has been sought in the draft amendment bill, consistently emphasize compliance as a legal and governance function.</w:t>
            </w:r>
          </w:p>
          <w:p w14:paraId="3191339D" w14:textId="2A75EB19" w:rsidR="00064F8F" w:rsidRPr="00064F8F" w:rsidRDefault="00064F8F" w:rsidP="00064F8F">
            <w:pPr>
              <w:spacing w:after="0" w:line="276" w:lineRule="auto"/>
              <w:jc w:val="both"/>
              <w:rPr>
                <w:rFonts w:ascii="Calisto MT" w:hAnsi="Calisto MT" w:cs="Times New Roman"/>
                <w:bCs/>
                <w:sz w:val="26"/>
                <w:szCs w:val="26"/>
              </w:rPr>
            </w:pPr>
          </w:p>
          <w:p w14:paraId="1E8BC50D" w14:textId="77777777" w:rsidR="00064F8F" w:rsidRPr="00064F8F" w:rsidRDefault="00064F8F" w:rsidP="00064F8F">
            <w:pPr>
              <w:spacing w:after="120" w:line="276" w:lineRule="auto"/>
              <w:jc w:val="both"/>
              <w:rPr>
                <w:rFonts w:ascii="Calisto MT" w:eastAsia="Calibri" w:hAnsi="Calisto MT" w:cs="Times New Roman"/>
                <w:sz w:val="26"/>
                <w:szCs w:val="26"/>
              </w:rPr>
            </w:pPr>
            <w:r w:rsidRPr="00064F8F">
              <w:rPr>
                <w:rFonts w:ascii="Calisto MT" w:eastAsia="Calibri" w:hAnsi="Calisto MT" w:cs="Times New Roman"/>
                <w:sz w:val="26"/>
                <w:szCs w:val="26"/>
              </w:rPr>
              <w:t>Company Secretary in employment acts as Compliance Officer, Advisor, KMP, Corporate Risk Manager, Chief Governance Officer, Corporate Planner and Strategic Manager, etc.</w:t>
            </w:r>
          </w:p>
          <w:p w14:paraId="73133BB1" w14:textId="77777777" w:rsidR="00064F8F" w:rsidRPr="00064F8F" w:rsidRDefault="00064F8F" w:rsidP="00064F8F">
            <w:pPr>
              <w:spacing w:after="120" w:line="276" w:lineRule="auto"/>
              <w:jc w:val="both"/>
              <w:rPr>
                <w:rFonts w:ascii="Calisto MT" w:eastAsia="Calibri" w:hAnsi="Calisto MT" w:cs="Times New Roman"/>
                <w:b/>
                <w:bCs/>
                <w:sz w:val="26"/>
                <w:szCs w:val="26"/>
              </w:rPr>
            </w:pPr>
            <w:r w:rsidRPr="00064F8F">
              <w:rPr>
                <w:rFonts w:ascii="Calisto MT" w:eastAsia="Calibri" w:hAnsi="Calisto MT" w:cs="Times New Roman"/>
                <w:b/>
                <w:bCs/>
                <w:sz w:val="26"/>
                <w:szCs w:val="26"/>
              </w:rPr>
              <w:t>Company Secretaries are recognized for employment as under:</w:t>
            </w:r>
          </w:p>
          <w:p w14:paraId="43E5E971" w14:textId="77777777" w:rsidR="00064F8F" w:rsidRPr="00064F8F" w:rsidRDefault="00064F8F" w:rsidP="00064F8F">
            <w:pPr>
              <w:pStyle w:val="ListParagraph"/>
              <w:numPr>
                <w:ilvl w:val="0"/>
                <w:numId w:val="1"/>
              </w:numPr>
              <w:spacing w:after="120" w:line="276" w:lineRule="auto"/>
              <w:ind w:left="176" w:hanging="176"/>
              <w:contextualSpacing w:val="0"/>
              <w:jc w:val="both"/>
              <w:rPr>
                <w:rFonts w:ascii="Calisto MT" w:hAnsi="Calisto MT"/>
                <w:b/>
                <w:bCs/>
                <w:sz w:val="26"/>
                <w:szCs w:val="26"/>
              </w:rPr>
            </w:pPr>
            <w:r w:rsidRPr="00064F8F">
              <w:rPr>
                <w:rFonts w:ascii="Calisto MT" w:hAnsi="Calisto MT"/>
                <w:b/>
                <w:bCs/>
                <w:sz w:val="26"/>
                <w:szCs w:val="26"/>
              </w:rPr>
              <w:t>Designated as Compliance Officer under Regulation 6 of SEBI {Listing Obligations and Disclosure Requirements (LODR)} Regulations, 2015.</w:t>
            </w:r>
          </w:p>
          <w:p w14:paraId="66395C81" w14:textId="77777777" w:rsidR="00064F8F" w:rsidRPr="00064F8F" w:rsidRDefault="00064F8F" w:rsidP="00064F8F">
            <w:pPr>
              <w:pStyle w:val="ListParagraph"/>
              <w:numPr>
                <w:ilvl w:val="0"/>
                <w:numId w:val="1"/>
              </w:numPr>
              <w:spacing w:after="120" w:line="276" w:lineRule="auto"/>
              <w:ind w:left="176" w:hanging="176"/>
              <w:contextualSpacing w:val="0"/>
              <w:jc w:val="both"/>
              <w:rPr>
                <w:rFonts w:ascii="Calisto MT" w:hAnsi="Calisto MT"/>
                <w:b/>
                <w:bCs/>
                <w:sz w:val="26"/>
                <w:szCs w:val="26"/>
              </w:rPr>
            </w:pPr>
            <w:r w:rsidRPr="00064F8F">
              <w:rPr>
                <w:rFonts w:ascii="Calisto MT" w:hAnsi="Calisto MT"/>
                <w:b/>
                <w:bCs/>
                <w:sz w:val="26"/>
                <w:szCs w:val="26"/>
              </w:rPr>
              <w:t>As per Regulation 16(1)(d) of SEBI (LODR) Regulations ‘Senior management’ shall specifically include Company Secretary excluding board of director.</w:t>
            </w:r>
          </w:p>
          <w:p w14:paraId="419EB381" w14:textId="77777777" w:rsidR="00064F8F" w:rsidRPr="00064F8F" w:rsidRDefault="00064F8F" w:rsidP="00064F8F">
            <w:pPr>
              <w:pStyle w:val="ListParagraph"/>
              <w:numPr>
                <w:ilvl w:val="0"/>
                <w:numId w:val="1"/>
              </w:numPr>
              <w:spacing w:after="120" w:line="240" w:lineRule="auto"/>
              <w:ind w:left="176" w:hanging="176"/>
              <w:contextualSpacing w:val="0"/>
              <w:jc w:val="both"/>
              <w:rPr>
                <w:rFonts w:ascii="Calisto MT" w:hAnsi="Calisto MT"/>
                <w:b/>
                <w:bCs/>
                <w:sz w:val="26"/>
                <w:szCs w:val="26"/>
              </w:rPr>
            </w:pPr>
            <w:r w:rsidRPr="00064F8F">
              <w:rPr>
                <w:rFonts w:ascii="Calisto MT" w:hAnsi="Calisto MT"/>
                <w:b/>
                <w:bCs/>
                <w:sz w:val="26"/>
                <w:szCs w:val="26"/>
              </w:rPr>
              <w:t>Recognized as a Key Managerial Personnel (KMP) as per section 2(51) of the Companies Act, 2013.</w:t>
            </w:r>
          </w:p>
          <w:p w14:paraId="00593243" w14:textId="77777777" w:rsidR="00064F8F" w:rsidRPr="00064F8F" w:rsidRDefault="00064F8F" w:rsidP="00064F8F">
            <w:pPr>
              <w:pStyle w:val="ListParagraph"/>
              <w:numPr>
                <w:ilvl w:val="0"/>
                <w:numId w:val="1"/>
              </w:numPr>
              <w:spacing w:after="120" w:line="240" w:lineRule="auto"/>
              <w:ind w:left="176" w:hanging="176"/>
              <w:contextualSpacing w:val="0"/>
              <w:jc w:val="both"/>
              <w:rPr>
                <w:rFonts w:ascii="Calisto MT" w:hAnsi="Calisto MT"/>
                <w:b/>
                <w:bCs/>
                <w:sz w:val="26"/>
                <w:szCs w:val="26"/>
              </w:rPr>
            </w:pPr>
            <w:r w:rsidRPr="00064F8F">
              <w:rPr>
                <w:rFonts w:ascii="Calisto MT" w:hAnsi="Calisto MT"/>
                <w:b/>
                <w:bCs/>
                <w:sz w:val="26"/>
                <w:szCs w:val="26"/>
              </w:rPr>
              <w:t>Appointment as whole-time KMP in every listed company or every other company having a paid-up share capital of 10 crore rupees or more as per the Companies (Appointment and Remuneration of Managerial Personnel) Rules, 2014.</w:t>
            </w:r>
          </w:p>
          <w:p w14:paraId="78E9D202" w14:textId="77777777" w:rsidR="00064F8F" w:rsidRPr="00064F8F" w:rsidRDefault="00064F8F" w:rsidP="00064F8F">
            <w:pPr>
              <w:spacing w:after="0" w:line="240" w:lineRule="auto"/>
              <w:jc w:val="both"/>
              <w:rPr>
                <w:rFonts w:ascii="Calisto MT" w:hAnsi="Calisto MT"/>
                <w:sz w:val="26"/>
                <w:szCs w:val="26"/>
              </w:rPr>
            </w:pPr>
            <w:r w:rsidRPr="00064F8F">
              <w:rPr>
                <w:rFonts w:ascii="Calisto MT" w:hAnsi="Calisto MT"/>
                <w:sz w:val="26"/>
                <w:szCs w:val="26"/>
              </w:rPr>
              <w:t xml:space="preserve">Therefore, the proposed modifications have been suggested. </w:t>
            </w:r>
          </w:p>
          <w:p w14:paraId="718421E7" w14:textId="5788CE7E" w:rsidR="00692147" w:rsidRPr="00064F8F" w:rsidRDefault="00692147" w:rsidP="00F52C60">
            <w:pPr>
              <w:spacing w:after="0" w:line="240" w:lineRule="auto"/>
              <w:jc w:val="both"/>
              <w:rPr>
                <w:rFonts w:ascii="Calisto MT" w:hAnsi="Calisto MT" w:cs="Times New Roman"/>
                <w:bCs/>
                <w:sz w:val="26"/>
                <w:szCs w:val="26"/>
              </w:rPr>
            </w:pPr>
          </w:p>
        </w:tc>
      </w:tr>
    </w:tbl>
    <w:p w14:paraId="133C8AA3" w14:textId="77777777" w:rsidR="00743B3B" w:rsidRPr="00064F8F" w:rsidRDefault="00743B3B">
      <w:pPr>
        <w:rPr>
          <w:sz w:val="26"/>
          <w:szCs w:val="26"/>
        </w:rPr>
      </w:pPr>
    </w:p>
    <w:p w14:paraId="0B6CC62C" w14:textId="77777777" w:rsidR="00064F8F" w:rsidRPr="00064F8F" w:rsidRDefault="00064F8F">
      <w:pPr>
        <w:rPr>
          <w:sz w:val="26"/>
          <w:szCs w:val="26"/>
        </w:rPr>
      </w:pPr>
    </w:p>
    <w:sectPr w:rsidR="00064F8F" w:rsidRPr="00064F8F" w:rsidSect="0069214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FE3E88"/>
    <w:multiLevelType w:val="hybridMultilevel"/>
    <w:tmpl w:val="55C280D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47"/>
    <w:rsid w:val="00064F8F"/>
    <w:rsid w:val="005A02D0"/>
    <w:rsid w:val="006350F1"/>
    <w:rsid w:val="00692147"/>
    <w:rsid w:val="00720438"/>
    <w:rsid w:val="00743B3B"/>
    <w:rsid w:val="007B0604"/>
    <w:rsid w:val="0096615E"/>
    <w:rsid w:val="00A73AF6"/>
    <w:rsid w:val="00AC0370"/>
    <w:rsid w:val="00B75A83"/>
    <w:rsid w:val="00B82ED0"/>
    <w:rsid w:val="00D70510"/>
    <w:rsid w:val="00DD7E2A"/>
    <w:rsid w:val="00FA1E8A"/>
    <w:rsid w:val="00FD45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369D3"/>
  <w15:chartTrackingRefBased/>
  <w15:docId w15:val="{BFA08499-347E-419B-A5C2-88317004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11.jpg@01DCF1C0.A4D21B0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Khusbu Mohanty</dc:creator>
  <cp:keywords/>
  <dc:description/>
  <cp:lastModifiedBy>Khusbu Mohanty</cp:lastModifiedBy>
  <cp:revision>1</cp:revision>
  <dcterms:created xsi:type="dcterms:W3CDTF">2026-07-02T11:44:00Z</dcterms:created>
  <dcterms:modified xsi:type="dcterms:W3CDTF">2026-07-02T12:05:00Z</dcterms:modified>
</cp:coreProperties>
</file>